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  <w:t>ТОМСКАЯ ОБЛАСТЬ</w:t>
      </w:r>
    </w:p>
    <w:p>
      <w:pPr>
        <w:pStyle w:val="Normal"/>
        <w:widowControl w:val="false"/>
        <w:autoSpaceDE w:val="false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  <w:t>ПАРАБЕЛЬСКИЙ РАЙОН</w:t>
      </w:r>
    </w:p>
    <w:p>
      <w:pPr>
        <w:pStyle w:val="Normal"/>
        <w:widowControl w:val="false"/>
        <w:autoSpaceDE w:val="false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  <w:t>СОВЕТ НАРЫМСКОГО СЕЛЬСКОГО ПОСЕЛЕНИЯ</w:t>
      </w:r>
    </w:p>
    <w:p>
      <w:pPr>
        <w:pStyle w:val="Normal"/>
        <w:widowControl w:val="false"/>
        <w:autoSpaceDE w:val="false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  <w:t>Второго Созыва</w:t>
      </w:r>
    </w:p>
    <w:p>
      <w:pPr>
        <w:pStyle w:val="Normal"/>
        <w:widowControl w:val="false"/>
        <w:autoSpaceDE w:val="false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</w:r>
    </w:p>
    <w:p>
      <w:pPr>
        <w:pStyle w:val="Normal"/>
        <w:widowControl w:val="false"/>
        <w:autoSpaceDE w:val="false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  <w:t>РЕШЕНИЕ</w:t>
      </w:r>
    </w:p>
    <w:p>
      <w:pPr>
        <w:pStyle w:val="Normal"/>
        <w:widowControl w:val="false"/>
        <w:autoSpaceDE w:val="false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</w:r>
    </w:p>
    <w:p>
      <w:pPr>
        <w:pStyle w:val="Normal"/>
        <w:widowControl w:val="false"/>
        <w:autoSpaceDE w:val="false"/>
        <w:ind w:left="360" w:hanging="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29.10.2010 </w:t>
        <w:tab/>
        <w:tab/>
        <w:tab/>
        <w:tab/>
        <w:tab/>
        <w:tab/>
        <w:tab/>
        <w:tab/>
        <w:tab/>
        <w:tab/>
        <w:t>№ 106</w:t>
      </w:r>
    </w:p>
    <w:p>
      <w:pPr>
        <w:pStyle w:val="Normal"/>
        <w:widowControl w:val="false"/>
        <w:autoSpaceDE w:val="false"/>
        <w:jc w:val="center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с.Нарым</w:t>
      </w:r>
    </w:p>
    <w:p>
      <w:pPr>
        <w:pStyle w:val="Normal"/>
        <w:jc w:val="center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</w:p>
    <w:p>
      <w:pPr>
        <w:pStyle w:val="Normal"/>
        <w:tabs>
          <w:tab w:val="left" w:pos="788" w:leader="none"/>
        </w:tabs>
        <w:ind w:right="5935" w:hanging="0"/>
        <w:jc w:val="both"/>
        <w:rPr/>
      </w:pPr>
      <w:r>
        <w:rPr/>
        <w:t>Об установлении на территории Нарымского сельского поселения земельного налога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В соответствии с Налоговым кодексом Российской Федерации, Федеральным законом от 6 октября 2003 года № 131-ФЗ «Об общих принципах  организации местного самоуправления в Российской Федерации» и Уставом Нарымского сельского поселения Совет Нарымского сельского поселения решил 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1.Установить на территории муниципального образования «Нарымское сельского поселения» земельный налог.</w:t>
      </w:r>
    </w:p>
    <w:p>
      <w:pPr>
        <w:pStyle w:val="Normal"/>
        <w:ind w:left="720" w:hanging="0"/>
        <w:jc w:val="both"/>
        <w:rPr/>
      </w:pPr>
      <w:r>
        <w:rPr/>
        <w:t>2. Земельный налог на территории Нарымского сельского поселения взимается от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кадастровой стоимости земельного участка по следующим ставкам:            </w:t>
      </w:r>
    </w:p>
    <w:p>
      <w:pPr>
        <w:pStyle w:val="Normal"/>
        <w:ind w:firstLine="540"/>
        <w:jc w:val="both"/>
        <w:rPr/>
      </w:pPr>
      <w:r>
        <w:rPr/>
        <w:t>2.1. Налоговые ставки устанавливаются в размере 0,3 процента кадастровой стоимости в отношении земельных участков:</w:t>
      </w:r>
    </w:p>
    <w:p>
      <w:pPr>
        <w:pStyle w:val="Normal"/>
        <w:ind w:firstLine="540"/>
        <w:jc w:val="both"/>
        <w:rPr/>
      </w:pPr>
      <w:r>
        <w:rPr/>
        <w:t>-</w:t>
        <w:tab/>
        <w:t>предоставленных для личного подсобного хозяйства, садоводства, огородничества или животноводства;</w:t>
      </w:r>
    </w:p>
    <w:p>
      <w:pPr>
        <w:pStyle w:val="Normal"/>
        <w:ind w:firstLine="540"/>
        <w:jc w:val="both"/>
        <w:rPr/>
      </w:pPr>
      <w:r>
        <w:rPr/>
        <w:t>-</w:t>
        <w:tab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Normal"/>
        <w:ind w:firstLine="540"/>
        <w:jc w:val="both"/>
        <w:rPr/>
      </w:pPr>
      <w:r>
        <w:rPr/>
        <w:t>-</w:t>
        <w:tab/>
        <w:t>отнесенных к землям особо охраняемых природных территорий, природоохранного и историко-культурного назначения.</w:t>
      </w:r>
    </w:p>
    <w:p>
      <w:pPr>
        <w:pStyle w:val="Normal"/>
        <w:ind w:firstLine="540"/>
        <w:jc w:val="both"/>
        <w:rPr/>
      </w:pPr>
      <w:r>
        <w:rPr/>
        <w:t>2.2. Установить налоговые ставки:</w:t>
      </w:r>
    </w:p>
    <w:p>
      <w:pPr>
        <w:pStyle w:val="Normal"/>
        <w:ind w:firstLine="540"/>
        <w:jc w:val="both"/>
        <w:rPr/>
      </w:pPr>
      <w:r>
        <w:rPr/>
        <w:t>- под домами индивидуальной  жилой застройки – в размере 0,1 процента;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>- земли гаражей и автостоянок (для пенсионеров) – в размере 0,1 процента;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>- земли под объектами торговли, общественного питания, бытового обслуживания – в размере 0,6 процента;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>-  земли для размещения гостиниц – в размере 0,2 процента;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>- земли на размещения административных и офисных зданий – в размере 0,2 процента;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>- земли под объектами народного образования – в размере 0,1 процента;</w:t>
      </w:r>
    </w:p>
    <w:p>
      <w:pPr>
        <w:pStyle w:val="Normal"/>
        <w:ind w:firstLine="540"/>
        <w:jc w:val="both"/>
        <w:rPr/>
      </w:pPr>
      <w:r>
        <w:rPr/>
        <w:t xml:space="preserve">  </w:t>
      </w:r>
      <w:r>
        <w:rPr/>
        <w:t>- земли под объектами, принадлежащими областным государственным учреждениям – 0,07 процента.</w:t>
      </w:r>
    </w:p>
    <w:p>
      <w:pPr>
        <w:pStyle w:val="Normal"/>
        <w:ind w:firstLine="540"/>
        <w:jc w:val="both"/>
        <w:rPr/>
      </w:pPr>
      <w:r>
        <w:rPr/>
        <w:t>- земли под объектами, принадлежащими муниципальным организациям и учреждениям – в размере 0,15 процента</w:t>
      </w:r>
    </w:p>
    <w:p>
      <w:pPr>
        <w:pStyle w:val="Normal"/>
        <w:ind w:firstLine="540"/>
        <w:jc w:val="both"/>
        <w:rPr/>
      </w:pPr>
      <w:r>
        <w:rPr/>
        <w:t>- земли под объектами, принадлежащими органам местного самоуправления – в размере 0,15 процента</w:t>
      </w:r>
    </w:p>
    <w:p>
      <w:pPr>
        <w:pStyle w:val="Normal"/>
        <w:ind w:firstLine="540"/>
        <w:jc w:val="both"/>
        <w:rPr/>
      </w:pPr>
      <w:r>
        <w:rPr/>
        <w:t>2.3.</w:t>
        <w:tab/>
        <w:t>Налоговые ставки устанавливаются в размере 1,5 процента  кадастровой стоимости в отношении прочих земельных участков.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2. Земельный налог на земельные участки, расположенные в границах Нарымского сельского поселения, уплачивается в бюджет Нарымского сельского поселения.</w:t>
      </w:r>
    </w:p>
    <w:p>
      <w:pPr>
        <w:pStyle w:val="Normal"/>
        <w:jc w:val="both"/>
        <w:rPr/>
      </w:pPr>
      <w:r>
        <w:rPr/>
        <w:tab/>
        <w:t xml:space="preserve">3. Налогоплательщики - организации и физически лица, являющиеся индивидуальными предпринимателями суммы авансовых платежей по земельному налогу, исчисленные в соответствии с Налоговым кодексом Российской Федерации, уплачивают в бюджет поселения </w:t>
      </w:r>
      <w:r>
        <w:rPr>
          <w:i/>
        </w:rPr>
        <w:t>не позднее 5 мая, 5 августа,  5 ноября текущего налогового периода.</w:t>
      </w:r>
    </w:p>
    <w:p>
      <w:pPr>
        <w:pStyle w:val="Normal"/>
        <w:jc w:val="both"/>
        <w:rPr/>
      </w:pPr>
      <w:r>
        <w:rPr/>
        <w:tab/>
        <w:t>4.  Сумма земельного налога, подлежащая уплате в бюджет по истечении налогового периода, уплачивается в следующем порядке:</w:t>
      </w:r>
    </w:p>
    <w:p>
      <w:pPr>
        <w:pStyle w:val="Normal"/>
        <w:jc w:val="both"/>
        <w:rPr/>
      </w:pPr>
      <w:r>
        <w:rPr/>
        <w:t xml:space="preserve">1) налогоплательщиками – организациями и физическими лицами, являющимися индивидуальными предпринимателями - </w:t>
      </w:r>
      <w:r>
        <w:rPr>
          <w:i/>
        </w:rPr>
        <w:t>не позднее 15 февраля года, следующего за истекшим налоговым периодом.</w:t>
      </w:r>
    </w:p>
    <w:p>
      <w:pPr>
        <w:pStyle w:val="Normal"/>
        <w:jc w:val="both"/>
        <w:rPr/>
      </w:pPr>
      <w:r>
        <w:rPr/>
        <w:t xml:space="preserve">2) налогоплательщиками – физическими лицами, не являющими индивидуальными предпринимателями – </w:t>
      </w:r>
      <w:r>
        <w:rPr>
          <w:i/>
        </w:rPr>
        <w:t>не позднее 1 ноября, следующего за истекшим налоговым периодом.</w:t>
      </w:r>
    </w:p>
    <w:p>
      <w:pPr>
        <w:pStyle w:val="Normal"/>
        <w:jc w:val="both"/>
        <w:rPr/>
      </w:pPr>
      <w:r>
        <w:rPr/>
        <w:tab/>
        <w:t>5. Помимо указанных в Налоговом Кодексе Российской Федерации категорий организаций и физических лиц, освобожденных от налогообложения, освобождаются от налогообложения также:</w:t>
      </w:r>
    </w:p>
    <w:p>
      <w:pPr>
        <w:pStyle w:val="Normal"/>
        <w:numPr>
          <w:ilvl w:val="0"/>
          <w:numId w:val="1"/>
        </w:numPr>
        <w:jc w:val="both"/>
        <w:rPr>
          <w:bCs/>
        </w:rPr>
      </w:pPr>
      <w:r>
        <w:rPr>
          <w:bCs/>
        </w:rPr>
        <w:t>труженики тыла;</w:t>
      </w:r>
    </w:p>
    <w:p>
      <w:pPr>
        <w:pStyle w:val="Normal"/>
        <w:numPr>
          <w:ilvl w:val="0"/>
          <w:numId w:val="1"/>
        </w:numPr>
        <w:tabs>
          <w:tab w:val="left" w:pos="450" w:leader="none"/>
        </w:tabs>
        <w:ind w:left="0" w:firstLine="360"/>
        <w:jc w:val="both"/>
        <w:rPr>
          <w:bCs/>
        </w:rPr>
      </w:pPr>
      <w:r>
        <w:rPr>
          <w:bCs/>
        </w:rPr>
        <w:t>вдовы участников боевых действий по защите Родины из числа военнослужащих, проходивших службу в воинских частях, штабах и учреждениях, входящих в состав действующих армий;</w:t>
      </w:r>
    </w:p>
    <w:p>
      <w:pPr>
        <w:pStyle w:val="Normal"/>
        <w:numPr>
          <w:ilvl w:val="0"/>
          <w:numId w:val="1"/>
        </w:numPr>
        <w:tabs>
          <w:tab w:val="left" w:pos="450" w:leader="none"/>
        </w:tabs>
        <w:ind w:left="0" w:firstLine="360"/>
        <w:jc w:val="both"/>
        <w:rPr>
          <w:bCs/>
        </w:rPr>
      </w:pPr>
      <w:r>
        <w:rPr>
          <w:bCs/>
        </w:rPr>
        <w:t>многодетные семьи и одинокие матери (отцы), воспитывающие несовершеннолетних детей, - в отношении земельных участков, занятых жилищным фондом, предоставленных (приобретенных) для жилищного строительства, ведения личного подсобного хозяйства.</w:t>
      </w:r>
    </w:p>
    <w:p>
      <w:pPr>
        <w:pStyle w:val="Normal"/>
        <w:jc w:val="both"/>
        <w:rPr/>
      </w:pPr>
      <w:r>
        <w:rPr/>
        <w:tab/>
        <w:t>6. Для  подтверждения права на льготы по уплате земельного налога налогоплательщик обязан представить в налоговый орган по месту постановки на налоговый учет соответствующие документы, а также заявление, предусмотренные настоящим решением.</w:t>
      </w:r>
    </w:p>
    <w:p>
      <w:pPr>
        <w:pStyle w:val="Normal"/>
        <w:jc w:val="both"/>
        <w:rPr/>
      </w:pPr>
      <w:r>
        <w:rPr/>
        <w:tab/>
        <w:t>7. Документы, подтверждение право на льготы по уплате земельного налога а также заявления налогоплательщиков предоставляются в налоговый орган по месту нахождения земельного участка в следующие сроки:</w:t>
      </w:r>
    </w:p>
    <w:p>
      <w:pPr>
        <w:pStyle w:val="Normal"/>
        <w:jc w:val="both"/>
        <w:rPr/>
      </w:pPr>
      <w:r>
        <w:rPr/>
        <w:t>1) налогоплательщиками – организации и физические лица, являющиеся индивидуальными предпринимателями - одновременно с предоставлением декларацией по земельному налогу.</w:t>
      </w:r>
    </w:p>
    <w:p>
      <w:pPr>
        <w:pStyle w:val="Normal"/>
        <w:jc w:val="both"/>
        <w:rPr/>
      </w:pPr>
      <w:r>
        <w:rPr/>
        <w:t>2) налогоплательщиками – физические лица, не являющиеся индивидуальными предпринимателями – в срок не позднее 1 февраля года, следующего за истекшим налоговым периодом. В случае возникновения (утраты) права на льготы после 1 февраля года, следующего за истекшим налоговым периодом, документы предоставляются налогоплательщиками в течение 10 дней со дня возникновения (утраты) такого права.</w:t>
      </w:r>
    </w:p>
    <w:p>
      <w:pPr>
        <w:pStyle w:val="Style15"/>
        <w:rPr/>
      </w:pPr>
      <w:r>
        <w:rPr/>
        <w:tab/>
        <w:t xml:space="preserve">8. Признать утратившим силу </w:t>
      </w:r>
      <w:r>
        <w:rPr>
          <w:rFonts w:cs="Times New Roman CYR" w:ascii="Times New Roman CYR" w:hAnsi="Times New Roman CYR"/>
        </w:rPr>
        <w:t>Решение Совета Нарымского поселения от 12.04.2010 года № 93.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9. Настоящие решение вступает в силу с 1 января 2011 года, но не ранее чем по истечении одного месяца со дня его официального опубликования.</w:t>
      </w:r>
    </w:p>
    <w:p>
      <w:pPr>
        <w:pStyle w:val="Normal"/>
        <w:jc w:val="both"/>
        <w:rPr/>
      </w:pPr>
      <w:r>
        <w:rPr/>
        <w:tab/>
        <w:t>10. Опубликовать настоящее решение в бюллетене.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поселения</w:t>
        <w:tab/>
        <w:tab/>
        <w:tab/>
        <w:tab/>
        <w:tab/>
        <w:tab/>
        <w:tab/>
        <w:tab/>
        <w:t>В.С. Мартемьянов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LibreOffice/5.2.2.2$Windows_X86_64 LibreOffice_project/8f96e87c890bf8fa77463cd4b640a2312823f3ad</Application>
  <Pages>2</Pages>
  <Words>616</Words>
  <Characters>4361</Characters>
  <CharactersWithSpaces>5026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2017-02-07T14:31:52Z</dcterms:created>
  <dc:creator/>
  <dc:description/>
  <dc:language>ru-RU</dc:language>
  <cp:lastModifiedBy/>
  <dcterms:modified xsi:type="dcterms:W3CDTF">2017-02-07T14:32:21Z</dcterms:modified>
  <cp:revision>1</cp:revision>
  <dc:subject/>
  <dc:title/>
</cp:coreProperties>
</file>